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2410"/>
        <w:gridCol w:w="425"/>
        <w:gridCol w:w="2554"/>
      </w:tblGrid>
      <w:tr w:rsidR="00C175EF" w:rsidRPr="002B1D4B" w:rsidTr="002B1D4B">
        <w:trPr>
          <w:trHeight w:hRule="exact" w:val="574"/>
        </w:trPr>
        <w:tc>
          <w:tcPr>
            <w:tcW w:w="9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25AEF" w:rsidRDefault="006D43AE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Module T</w:t>
            </w:r>
            <w:r w:rsidR="00125AEF" w:rsidRPr="00125AEF">
              <w:rPr>
                <w:rFonts w:eastAsia="Times New Roman" w:cs="Times New Roman"/>
                <w:b/>
                <w:sz w:val="24"/>
                <w:szCs w:val="24"/>
              </w:rPr>
              <w:t xml:space="preserve">itle: </w:t>
            </w:r>
            <w:r w:rsidR="004B3975">
              <w:rPr>
                <w:rFonts w:eastAsia="Times New Roman" w:cs="Times New Roman"/>
                <w:b/>
                <w:sz w:val="24"/>
                <w:szCs w:val="24"/>
              </w:rPr>
              <w:t>Neural Function I: From Experiments to Analysis</w:t>
            </w:r>
          </w:p>
        </w:tc>
      </w:tr>
      <w:tr w:rsidR="00116F5D" w:rsidTr="00116F5D">
        <w:trPr>
          <w:trHeight w:hRule="exact" w:val="1282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116F5D">
              <w:rPr>
                <w:b/>
              </w:rPr>
              <w:t>Identification-</w:t>
            </w:r>
            <w:proofErr w:type="spellStart"/>
            <w:r w:rsidRPr="00116F5D">
              <w:rPr>
                <w:b/>
              </w:rPr>
              <w:t>Nr</w:t>
            </w:r>
            <w:proofErr w:type="spellEnd"/>
            <w:r w:rsidRPr="00116F5D">
              <w:rPr>
                <w:b/>
              </w:rPr>
              <w:t>.</w:t>
            </w:r>
          </w:p>
          <w:p w:rsidR="000C450E" w:rsidRDefault="000C450E" w:rsidP="00CE26F3">
            <w:pPr>
              <w:pStyle w:val="KeinLeerraum"/>
              <w:spacing w:line="276" w:lineRule="auto"/>
              <w:ind w:left="57" w:right="57"/>
            </w:pPr>
          </w:p>
          <w:p w:rsidR="00116F5D" w:rsidRPr="004D4EA3" w:rsidRDefault="00116F5D" w:rsidP="00CE26F3">
            <w:pPr>
              <w:pStyle w:val="KeinLeerraum"/>
              <w:spacing w:line="276" w:lineRule="auto"/>
              <w:ind w:left="57" w:right="57"/>
            </w:pPr>
            <w:r w:rsidRPr="004D4EA3">
              <w:t>M-MN-N-Neuro</w:t>
            </w: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  <w:r w:rsidRPr="000C450E">
              <w:rPr>
                <w:lang w:val="de-DE"/>
              </w:rPr>
              <w:t>M</w:t>
            </w:r>
            <w:r w:rsidR="00AA18C9" w:rsidRPr="000C450E">
              <w:rPr>
                <w:lang w:val="de-DE"/>
              </w:rPr>
              <w:t>0</w:t>
            </w:r>
            <w:r w:rsidR="004D4EA3">
              <w:rPr>
                <w:lang w:val="de-DE"/>
              </w:rPr>
              <w:t>3</w:t>
            </w: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360h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Credit P</w:t>
            </w:r>
            <w:r w:rsidRPr="00116F5D">
              <w:rPr>
                <w:b/>
              </w:rPr>
              <w:t>oints</w:t>
            </w: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>12CP</w:t>
            </w: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 xml:space="preserve">Frequency of </w:t>
            </w:r>
            <w:proofErr w:type="spellStart"/>
            <w:r>
              <w:rPr>
                <w:b/>
              </w:rPr>
              <w:t>O</w:t>
            </w:r>
            <w:r w:rsidRPr="00116F5D">
              <w:rPr>
                <w:b/>
              </w:rPr>
              <w:t>ccurence</w:t>
            </w:r>
            <w:proofErr w:type="spellEnd"/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 xml:space="preserve">Summer term, </w:t>
            </w:r>
            <w:r w:rsidR="004D4EA3">
              <w:t>1</w:t>
            </w:r>
            <w:r w:rsidR="004D4EA3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half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Duration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7 weeks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</w:tr>
      <w:tr w:rsidR="00D4372E" w:rsidRPr="002B1D4B" w:rsidTr="005A0743">
        <w:trPr>
          <w:trHeight w:hRule="exact" w:val="14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Type of lessons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Lectures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Practical/Lab</w:t>
            </w:r>
          </w:p>
          <w:p w:rsidR="00D4372E" w:rsidRPr="00116F5D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Seminar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Contact times</w:t>
            </w:r>
          </w:p>
          <w:p w:rsidR="004D4EA3" w:rsidRDefault="004B3975" w:rsidP="004D4EA3">
            <w:pPr>
              <w:pStyle w:val="KeinLeerraum"/>
              <w:numPr>
                <w:ilvl w:val="0"/>
                <w:numId w:val="11"/>
              </w:numPr>
              <w:ind w:right="57"/>
            </w:pPr>
            <w:r>
              <w:t>20</w:t>
            </w:r>
            <w:r w:rsidR="004D4EA3">
              <w:t xml:space="preserve"> h</w:t>
            </w:r>
          </w:p>
          <w:p w:rsidR="004D4EA3" w:rsidRDefault="004B3975" w:rsidP="004D4EA3">
            <w:pPr>
              <w:pStyle w:val="KeinLeerraum"/>
              <w:numPr>
                <w:ilvl w:val="0"/>
                <w:numId w:val="11"/>
              </w:numPr>
              <w:ind w:right="57"/>
            </w:pPr>
            <w:r>
              <w:t>100</w:t>
            </w:r>
            <w:r w:rsidR="004D4EA3">
              <w:t xml:space="preserve"> h</w:t>
            </w:r>
          </w:p>
          <w:p w:rsidR="00D4372E" w:rsidRPr="00116F5D" w:rsidRDefault="004B3975" w:rsidP="004D4EA3">
            <w:pPr>
              <w:pStyle w:val="KeinLeerraum"/>
              <w:numPr>
                <w:ilvl w:val="0"/>
                <w:numId w:val="11"/>
              </w:numPr>
              <w:spacing w:line="276" w:lineRule="auto"/>
              <w:ind w:right="57"/>
            </w:pPr>
            <w:r>
              <w:t>10</w:t>
            </w:r>
            <w:r w:rsidR="004D4EA3">
              <w:t xml:space="preserve">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widowControl/>
              <w:spacing w:after="0"/>
              <w:ind w:left="57" w:right="57"/>
              <w:rPr>
                <w:b/>
              </w:rPr>
            </w:pPr>
            <w:r w:rsidRPr="00646B93">
              <w:rPr>
                <w:b/>
              </w:rPr>
              <w:t>Self-study times</w:t>
            </w:r>
          </w:p>
          <w:p w:rsidR="004D4EA3" w:rsidRDefault="004B3975" w:rsidP="004D4EA3">
            <w:pPr>
              <w:pStyle w:val="KeinLeerraum"/>
              <w:numPr>
                <w:ilvl w:val="0"/>
                <w:numId w:val="12"/>
              </w:numPr>
              <w:ind w:right="57"/>
            </w:pPr>
            <w:r>
              <w:t>40</w:t>
            </w:r>
            <w:r w:rsidR="004D4EA3">
              <w:t xml:space="preserve"> h</w:t>
            </w:r>
          </w:p>
          <w:p w:rsidR="004D4EA3" w:rsidRDefault="004B3975" w:rsidP="004D4EA3">
            <w:pPr>
              <w:pStyle w:val="KeinLeerraum"/>
              <w:numPr>
                <w:ilvl w:val="0"/>
                <w:numId w:val="12"/>
              </w:numPr>
              <w:ind w:right="57"/>
            </w:pPr>
            <w:r>
              <w:t>160</w:t>
            </w:r>
            <w:r w:rsidR="004D4EA3">
              <w:t xml:space="preserve"> h</w:t>
            </w:r>
          </w:p>
          <w:p w:rsidR="000C450E" w:rsidRPr="00116F5D" w:rsidRDefault="004B3975" w:rsidP="004D4EA3">
            <w:pPr>
              <w:pStyle w:val="KeinLeerraum"/>
              <w:numPr>
                <w:ilvl w:val="0"/>
                <w:numId w:val="12"/>
              </w:numPr>
              <w:spacing w:line="276" w:lineRule="auto"/>
              <w:ind w:right="57"/>
            </w:pPr>
            <w:r>
              <w:t>30</w:t>
            </w:r>
            <w:r w:rsidR="004D4EA3">
              <w:t xml:space="preserve"> h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Intended group size*</w:t>
            </w:r>
          </w:p>
          <w:p w:rsidR="00D4372E" w:rsidRDefault="00D4372E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</w:pPr>
            <w:r>
              <w:t>max</w:t>
            </w:r>
            <w:r w:rsidR="000C450E">
              <w:t>.</w:t>
            </w:r>
            <w:r w:rsidR="004D4EA3">
              <w:t>16</w:t>
            </w:r>
          </w:p>
          <w:p w:rsidR="00D4372E" w:rsidRDefault="00D4372E" w:rsidP="00D4372E">
            <w:pPr>
              <w:pStyle w:val="KeinLeerraum"/>
              <w:numPr>
                <w:ilvl w:val="0"/>
                <w:numId w:val="3"/>
              </w:numPr>
              <w:ind w:right="57"/>
            </w:pPr>
            <w:r>
              <w:t>max</w:t>
            </w:r>
            <w:r w:rsidR="000C450E">
              <w:t xml:space="preserve">. </w:t>
            </w:r>
            <w:r w:rsidR="004B3975">
              <w:t>2</w:t>
            </w:r>
          </w:p>
          <w:p w:rsidR="00D4372E" w:rsidRPr="00116F5D" w:rsidRDefault="00D4372E" w:rsidP="004D4EA3">
            <w:pPr>
              <w:pStyle w:val="KeinLeerraum"/>
              <w:numPr>
                <w:ilvl w:val="0"/>
                <w:numId w:val="3"/>
              </w:numPr>
              <w:ind w:right="57"/>
            </w:pPr>
            <w:r>
              <w:t>max</w:t>
            </w:r>
            <w:r w:rsidR="000C450E">
              <w:t xml:space="preserve">. </w:t>
            </w:r>
            <w:r w:rsidR="004B3975">
              <w:t>16</w:t>
            </w:r>
          </w:p>
        </w:tc>
      </w:tr>
      <w:tr w:rsidR="00B160A2" w:rsidRPr="00646B93" w:rsidTr="005A0743">
        <w:trPr>
          <w:trHeight w:hRule="exact" w:val="326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2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646B93" w:rsidRDefault="00646B9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 xml:space="preserve">Aims of the module and </w:t>
            </w:r>
            <w:r w:rsidR="004B3975" w:rsidRPr="00646B93">
              <w:rPr>
                <w:b/>
              </w:rPr>
              <w:t>acquired</w:t>
            </w:r>
            <w:r w:rsidRPr="00646B93">
              <w:rPr>
                <w:b/>
              </w:rPr>
              <w:t xml:space="preserve"> skills</w:t>
            </w:r>
          </w:p>
          <w:p w:rsidR="00646B93" w:rsidRDefault="00646B93" w:rsidP="00CE26F3">
            <w:pPr>
              <w:pStyle w:val="KeinLeerraum"/>
              <w:spacing w:line="276" w:lineRule="auto"/>
              <w:ind w:left="57" w:right="57"/>
            </w:pPr>
            <w:r>
              <w:t>Students who succes</w:t>
            </w:r>
            <w:r w:rsidR="004B3975">
              <w:t>s</w:t>
            </w:r>
            <w:r>
              <w:t>fully completed this module ...</w:t>
            </w:r>
          </w:p>
          <w:p w:rsidR="004D4EA3" w:rsidRDefault="004D4EA3" w:rsidP="004D4EA3">
            <w:pPr>
              <w:pStyle w:val="KeinLeerraum"/>
              <w:numPr>
                <w:ilvl w:val="0"/>
                <w:numId w:val="13"/>
              </w:numPr>
            </w:pPr>
            <w:r>
              <w:t xml:space="preserve">have acquired a solid understanding of important </w:t>
            </w:r>
            <w:r w:rsidR="004B3975">
              <w:t>cellular electrophysiological methods.</w:t>
            </w:r>
          </w:p>
          <w:p w:rsidR="004B3975" w:rsidRDefault="004D4EA3" w:rsidP="004D4EA3">
            <w:pPr>
              <w:pStyle w:val="KeinLeerraum"/>
              <w:numPr>
                <w:ilvl w:val="0"/>
                <w:numId w:val="13"/>
              </w:numPr>
            </w:pPr>
            <w:r>
              <w:t xml:space="preserve">are able to apply </w:t>
            </w:r>
            <w:r w:rsidR="004B3975">
              <w:t>intracellular recording and imaging techniques used in neurobiology (see contents of the module) and are able to independently design and perform small scientific projects related to topics of the module.</w:t>
            </w:r>
          </w:p>
          <w:p w:rsidR="004D4EA3" w:rsidRDefault="004D4EA3" w:rsidP="004D4EA3">
            <w:pPr>
              <w:pStyle w:val="KeinLeerraum"/>
              <w:numPr>
                <w:ilvl w:val="0"/>
                <w:numId w:val="13"/>
              </w:numPr>
            </w:pPr>
            <w:r>
              <w:t xml:space="preserve">have </w:t>
            </w:r>
            <w:r w:rsidR="004B3975">
              <w:t xml:space="preserve">acquired basic programming skills with the high-level programming language </w:t>
            </w:r>
            <w:proofErr w:type="spellStart"/>
            <w:r w:rsidR="004B3975">
              <w:t>Matlab</w:t>
            </w:r>
            <w:proofErr w:type="spellEnd"/>
            <w:r w:rsidR="004B3975">
              <w:t>.</w:t>
            </w:r>
          </w:p>
          <w:p w:rsidR="004B3975" w:rsidRDefault="00E64D03" w:rsidP="004D4EA3">
            <w:pPr>
              <w:pStyle w:val="KeinLeerraum"/>
              <w:numPr>
                <w:ilvl w:val="0"/>
                <w:numId w:val="13"/>
              </w:numPr>
            </w:pPr>
            <w:r>
              <w:t>a</w:t>
            </w:r>
            <w:r w:rsidR="004B3975">
              <w:t xml:space="preserve">re able to </w:t>
            </w:r>
            <w:r>
              <w:t>analyze</w:t>
            </w:r>
            <w:r w:rsidR="004B3975">
              <w:t xml:space="preserve"> electrophysiological data using </w:t>
            </w:r>
            <w:proofErr w:type="spellStart"/>
            <w:r w:rsidR="004B3975">
              <w:t>Matlab</w:t>
            </w:r>
            <w:proofErr w:type="spellEnd"/>
            <w:r w:rsidR="004B3975">
              <w:t xml:space="preserve"> and the Spike 2 software package.</w:t>
            </w:r>
          </w:p>
          <w:p w:rsidR="00E64D03" w:rsidRDefault="00E64D03" w:rsidP="004D4EA3">
            <w:pPr>
              <w:pStyle w:val="KeinLeerraum"/>
              <w:numPr>
                <w:ilvl w:val="0"/>
                <w:numId w:val="13"/>
              </w:numPr>
            </w:pPr>
            <w:r>
              <w:t>have learned how to present research results in oral and written form and to critically discuss scientific publications related to the topic of the module on a professional level.</w:t>
            </w:r>
          </w:p>
          <w:p w:rsidR="00646B93" w:rsidRPr="00116F5D" w:rsidRDefault="004D4EA3" w:rsidP="004D4EA3">
            <w:pPr>
              <w:pStyle w:val="KeinLeerraum"/>
              <w:numPr>
                <w:ilvl w:val="0"/>
                <w:numId w:val="13"/>
              </w:numPr>
            </w:pPr>
            <w:r>
              <w:t>are able to transfer skills acquired in this module to other fields of biology</w:t>
            </w:r>
            <w:r w:rsidR="00E64D03">
              <w:t>.</w:t>
            </w:r>
          </w:p>
        </w:tc>
      </w:tr>
      <w:tr w:rsidR="00B160A2" w:rsidRPr="002B1D4B" w:rsidTr="005A0743">
        <w:trPr>
          <w:trHeight w:hRule="exact" w:val="241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3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Contents of the module</w:t>
            </w:r>
          </w:p>
          <w:p w:rsidR="004D4EA3" w:rsidRDefault="004D4EA3" w:rsidP="004D4EA3">
            <w:pPr>
              <w:pStyle w:val="KeinLeerraum"/>
              <w:numPr>
                <w:ilvl w:val="0"/>
                <w:numId w:val="13"/>
              </w:numPr>
            </w:pPr>
            <w:r>
              <w:t>Basic properties of excitable membranes</w:t>
            </w:r>
          </w:p>
          <w:p w:rsidR="004D4EA3" w:rsidRDefault="004D4EA3" w:rsidP="004D4EA3">
            <w:pPr>
              <w:pStyle w:val="KeinLeerraum"/>
              <w:numPr>
                <w:ilvl w:val="0"/>
                <w:numId w:val="13"/>
              </w:numPr>
            </w:pPr>
            <w:r>
              <w:t>Functional analysis of membrane properties</w:t>
            </w:r>
            <w:r w:rsidR="00E64D03">
              <w:t xml:space="preserve"> and neuronal activity</w:t>
            </w:r>
          </w:p>
          <w:p w:rsidR="00E64D03" w:rsidRDefault="004D4EA3" w:rsidP="004D4EA3">
            <w:pPr>
              <w:pStyle w:val="KeinLeerraum"/>
              <w:numPr>
                <w:ilvl w:val="0"/>
                <w:numId w:val="13"/>
              </w:numPr>
            </w:pPr>
            <w:r>
              <w:t xml:space="preserve">Intracellular recordings of neuronal </w:t>
            </w:r>
            <w:r w:rsidR="00E64D03">
              <w:t>activity</w:t>
            </w:r>
          </w:p>
          <w:p w:rsidR="004D4EA3" w:rsidRDefault="00E64D03" w:rsidP="004D4EA3">
            <w:pPr>
              <w:pStyle w:val="KeinLeerraum"/>
              <w:numPr>
                <w:ilvl w:val="0"/>
                <w:numId w:val="13"/>
              </w:numPr>
            </w:pPr>
            <w:r>
              <w:t>Analysis of s</w:t>
            </w:r>
            <w:r w:rsidR="004D4EA3">
              <w:t>ynaptic interaction of neurons</w:t>
            </w:r>
          </w:p>
          <w:p w:rsidR="004D4EA3" w:rsidRDefault="004D4EA3" w:rsidP="004D4EA3">
            <w:pPr>
              <w:pStyle w:val="KeinLeerraum"/>
              <w:numPr>
                <w:ilvl w:val="0"/>
                <w:numId w:val="13"/>
              </w:numPr>
            </w:pPr>
            <w:r>
              <w:t xml:space="preserve">Pharmacological analysis of </w:t>
            </w:r>
            <w:r w:rsidR="00E64D03">
              <w:t>membrane</w:t>
            </w:r>
            <w:r>
              <w:t xml:space="preserve"> properties</w:t>
            </w:r>
          </w:p>
          <w:p w:rsidR="00CE26F3" w:rsidRDefault="004D4EA3" w:rsidP="00E64D03">
            <w:pPr>
              <w:pStyle w:val="KeinLeerraum"/>
              <w:numPr>
                <w:ilvl w:val="0"/>
                <w:numId w:val="13"/>
              </w:numPr>
            </w:pPr>
            <w:r>
              <w:t xml:space="preserve">Intracellular staining techniques and </w:t>
            </w:r>
            <w:r w:rsidR="00E64D03">
              <w:t>f</w:t>
            </w:r>
            <w:r>
              <w:t>luorescence microscopy</w:t>
            </w:r>
          </w:p>
          <w:p w:rsidR="00E64D03" w:rsidRPr="00CE26F3" w:rsidRDefault="00E64D03" w:rsidP="00E64D03">
            <w:pPr>
              <w:pStyle w:val="KeinLeerraum"/>
              <w:numPr>
                <w:ilvl w:val="0"/>
                <w:numId w:val="13"/>
              </w:numPr>
            </w:pPr>
            <w:r>
              <w:t xml:space="preserve">Analysis of electrophysiological data with </w:t>
            </w:r>
            <w:proofErr w:type="spellStart"/>
            <w:r>
              <w:t>Matlab</w:t>
            </w:r>
            <w:proofErr w:type="spellEnd"/>
          </w:p>
        </w:tc>
      </w:tr>
      <w:tr w:rsidR="00B160A2" w:rsidRPr="002B1D4B" w:rsidTr="005A0743">
        <w:trPr>
          <w:trHeight w:hRule="exact" w:val="9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Teaching/Learning methods</w:t>
            </w:r>
          </w:p>
          <w:p w:rsidR="00CE26F3" w:rsidRPr="00CE26F3" w:rsidRDefault="004D4EA3" w:rsidP="004D4EA3">
            <w:pPr>
              <w:pStyle w:val="Listenabsatz"/>
              <w:numPr>
                <w:ilvl w:val="0"/>
                <w:numId w:val="22"/>
              </w:numPr>
            </w:pPr>
            <w:r w:rsidRPr="004D4EA3">
              <w:t xml:space="preserve">Lectures; Practical/Lab (Project work); Seminar; Computer </w:t>
            </w:r>
            <w:r w:rsidR="00F84607">
              <w:t xml:space="preserve">exercise with </w:t>
            </w:r>
            <w:proofErr w:type="spellStart"/>
            <w:r w:rsidR="00F84607">
              <w:t>Matlab</w:t>
            </w:r>
            <w:proofErr w:type="spellEnd"/>
            <w:r w:rsidRPr="004D4EA3">
              <w:t>; Guidance to independent research; Training on presentation techniques in oral and written form</w:t>
            </w:r>
          </w:p>
        </w:tc>
      </w:tr>
      <w:tr w:rsidR="00B160A2" w:rsidTr="005A0743">
        <w:trPr>
          <w:trHeight w:hRule="exact" w:val="21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Requirements for participation</w:t>
            </w:r>
          </w:p>
          <w:p w:rsidR="00CE26F3" w:rsidRDefault="00CE26F3" w:rsidP="0094629E">
            <w:pPr>
              <w:pStyle w:val="KeinLeerraum"/>
              <w:ind w:left="57" w:right="57"/>
            </w:pPr>
            <w:r w:rsidRPr="00CE26F3">
              <w:t>Enrollment in the Master´s degree course</w:t>
            </w:r>
            <w:r>
              <w:t xml:space="preserve"> </w:t>
            </w:r>
            <w:r w:rsidRPr="00CE26F3">
              <w:t>“Biological Sciences” or in the Master´s degree course “</w:t>
            </w:r>
            <w:proofErr w:type="spellStart"/>
            <w:r w:rsidRPr="00CE26F3">
              <w:t>Klinische</w:t>
            </w:r>
            <w:proofErr w:type="spellEnd"/>
            <w:r w:rsidRPr="00CE26F3">
              <w:t xml:space="preserve"> und </w:t>
            </w:r>
            <w:proofErr w:type="spellStart"/>
            <w:r w:rsidRPr="00CE26F3">
              <w:t>Experimentelle</w:t>
            </w:r>
            <w:proofErr w:type="spellEnd"/>
            <w:r w:rsidRPr="00CE26F3">
              <w:t xml:space="preserve"> </w:t>
            </w:r>
            <w:proofErr w:type="spellStart"/>
            <w:r w:rsidRPr="00CE26F3">
              <w:t>Neurowissenschaften</w:t>
            </w:r>
            <w:proofErr w:type="spellEnd"/>
            <w:r w:rsidRPr="00CE26F3">
              <w:t>”</w:t>
            </w:r>
          </w:p>
          <w:p w:rsidR="0094629E" w:rsidRDefault="00CE26F3" w:rsidP="00CE26F3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Additionally recommended:</w:t>
            </w:r>
            <w:r w:rsidR="0094629E">
              <w:rPr>
                <w:b/>
              </w:rPr>
              <w:t xml:space="preserve"> </w:t>
            </w:r>
          </w:p>
          <w:p w:rsidR="00CE26F3" w:rsidRPr="00CE26F3" w:rsidRDefault="004D4EA3" w:rsidP="004D4EA3">
            <w:pPr>
              <w:pStyle w:val="KeinLeerraum"/>
              <w:ind w:left="57" w:right="57"/>
            </w:pPr>
            <w:r w:rsidRPr="004D4EA3">
              <w:t>Participation in an advanced neurobiology/animal physiology course within a bachelor’s program (e.g. MN-B-WP I [Neuro 1] at University of Cologne) is highly desirable. The knowledge of basic neurobiology on the level of a general biology text book (Campbell or Purves) is a prerequisite.</w:t>
            </w:r>
          </w:p>
        </w:tc>
      </w:tr>
      <w:tr w:rsidR="00B160A2" w:rsidRPr="002B1D4B" w:rsidTr="005A0743">
        <w:trPr>
          <w:trHeight w:hRule="exact" w:val="1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Type of module examinations</w:t>
            </w:r>
          </w:p>
          <w:p w:rsidR="00CE26F3" w:rsidRPr="0094629E" w:rsidRDefault="004D4EA3" w:rsidP="004D4EA3">
            <w:pPr>
              <w:pStyle w:val="KeinLeerraum"/>
              <w:ind w:left="57" w:right="57"/>
            </w:pPr>
            <w:r>
              <w:t xml:space="preserve">The final examination consists of three parts: Two hours written examination about topics of the lectures, the practical/lab part </w:t>
            </w:r>
            <w:r w:rsidR="00A71FA5">
              <w:t>and the seminars (70 % of the total module mark) and the oral presentation (30% of the total module mark)</w:t>
            </w:r>
          </w:p>
        </w:tc>
      </w:tr>
      <w:tr w:rsidR="00B160A2" w:rsidTr="005A0743">
        <w:trPr>
          <w:trHeight w:hRule="exact" w:val="10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Requisites for the allocation of credits</w:t>
            </w:r>
          </w:p>
          <w:p w:rsidR="004D4EA3" w:rsidRDefault="004D4EA3" w:rsidP="004D4EA3">
            <w:pPr>
              <w:pStyle w:val="KeinLeerraum"/>
              <w:ind w:left="57" w:right="57"/>
            </w:pPr>
            <w:r>
              <w:t>Regular and active participation;</w:t>
            </w:r>
            <w:r w:rsidR="00A71FA5">
              <w:t xml:space="preserve"> Passed seminar paper</w:t>
            </w:r>
          </w:p>
          <w:p w:rsidR="00CE26F3" w:rsidRPr="00116F5D" w:rsidRDefault="004D4EA3" w:rsidP="004D4EA3">
            <w:pPr>
              <w:pStyle w:val="KeinLeerraum"/>
              <w:ind w:left="57" w:right="57"/>
            </w:pPr>
            <w:r>
              <w:t>Each examination part at least “sufficient” (see appendix of the examination regulations for details)</w:t>
            </w:r>
          </w:p>
        </w:tc>
      </w:tr>
      <w:tr w:rsidR="00B160A2" w:rsidTr="005A0743">
        <w:trPr>
          <w:trHeight w:hRule="exact" w:val="69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Compatibility with other Curricula*</w:t>
            </w:r>
          </w:p>
          <w:p w:rsidR="00CE26F3" w:rsidRPr="00116F5D" w:rsidRDefault="0094629E" w:rsidP="0094629E">
            <w:pPr>
              <w:pStyle w:val="KeinLeerraum"/>
              <w:ind w:left="57" w:right="57"/>
            </w:pPr>
            <w:r w:rsidRPr="0094629E">
              <w:t>Elective module in the Master´s degree course “</w:t>
            </w:r>
            <w:proofErr w:type="spellStart"/>
            <w:r w:rsidRPr="0094629E">
              <w:t>Klinische</w:t>
            </w:r>
            <w:proofErr w:type="spellEnd"/>
            <w:r w:rsidRPr="0094629E">
              <w:t xml:space="preserve"> und </w:t>
            </w:r>
            <w:proofErr w:type="spellStart"/>
            <w:r w:rsidRPr="0094629E">
              <w:t>Experimentelle</w:t>
            </w:r>
            <w:proofErr w:type="spellEnd"/>
            <w:r w:rsidRPr="0094629E">
              <w:t xml:space="preserve"> </w:t>
            </w:r>
            <w:proofErr w:type="spellStart"/>
            <w:r w:rsidRPr="0094629E">
              <w:t>Neurowissenschaften</w:t>
            </w:r>
            <w:proofErr w:type="spellEnd"/>
            <w:r w:rsidRPr="0094629E">
              <w:t>”</w:t>
            </w:r>
          </w:p>
        </w:tc>
      </w:tr>
      <w:tr w:rsidR="00B160A2" w:rsidRPr="00CE26F3" w:rsidTr="005A0743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9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Default="00CE26F3" w:rsidP="0094629E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Significance of the module mark for the overall grade</w:t>
            </w:r>
          </w:p>
          <w:p w:rsidR="00EF6C8E" w:rsidRPr="00EF6C8E" w:rsidRDefault="00EF6C8E" w:rsidP="0094629E">
            <w:pPr>
              <w:pStyle w:val="KeinLeerraum"/>
              <w:ind w:left="57" w:right="57"/>
            </w:pPr>
            <w:r w:rsidRPr="00EF6C8E">
              <w:t>In the Master´s degree course “Experimental and Clinical Neuroscience”: 12 % of the overall grade (see also appendix of the examination regulations)</w:t>
            </w:r>
          </w:p>
        </w:tc>
      </w:tr>
      <w:tr w:rsidR="00B160A2" w:rsidRPr="004D4EA3" w:rsidTr="005A0743">
        <w:trPr>
          <w:trHeight w:hRule="exact" w:val="97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4D4EA3" w:rsidRDefault="00CE26F3" w:rsidP="004D4EA3">
            <w:pPr>
              <w:pStyle w:val="KeinLeerraum"/>
              <w:ind w:left="57" w:right="57"/>
            </w:pPr>
            <w:r w:rsidRPr="00CE26F3">
              <w:rPr>
                <w:b/>
              </w:rPr>
              <w:t>Module coordinator</w:t>
            </w:r>
            <w:r w:rsidR="00EF6C8E">
              <w:rPr>
                <w:b/>
              </w:rPr>
              <w:t xml:space="preserve">: </w:t>
            </w:r>
            <w:r w:rsidR="004D4EA3" w:rsidRPr="004D4EA3">
              <w:t xml:space="preserve">PD Dr. Joachim Schmidt, phone 470-6135, </w:t>
            </w:r>
            <w:hyperlink r:id="rId5" w:history="1">
              <w:r w:rsidR="004D4EA3" w:rsidRPr="000850C0">
                <w:rPr>
                  <w:rStyle w:val="Hyperlink"/>
                </w:rPr>
                <w:t>joachim.schmidt@uni-koeln.de</w:t>
              </w:r>
            </w:hyperlink>
            <w:r w:rsidR="004D4EA3">
              <w:t xml:space="preserve"> </w:t>
            </w:r>
            <w:r w:rsidR="00EF6C8E" w:rsidRPr="004D4EA3">
              <w:rPr>
                <w:b/>
              </w:rPr>
              <w:t>Participating faculty</w:t>
            </w:r>
            <w:r w:rsidR="00A71FA5">
              <w:rPr>
                <w:b/>
              </w:rPr>
              <w:t>:</w:t>
            </w:r>
            <w:r w:rsidR="004D4EA3" w:rsidRPr="004D4EA3">
              <w:t xml:space="preserve"> </w:t>
            </w:r>
            <w:r w:rsidR="00A71FA5">
              <w:t xml:space="preserve">Dr. T. </w:t>
            </w:r>
            <w:proofErr w:type="spellStart"/>
            <w:r w:rsidR="00A71FA5">
              <w:t>Bockemühl</w:t>
            </w:r>
            <w:proofErr w:type="spellEnd"/>
            <w:r w:rsidR="00A71FA5">
              <w:t xml:space="preserve">, </w:t>
            </w:r>
            <w:r w:rsidR="004D4EA3" w:rsidRPr="004D4EA3">
              <w:t xml:space="preserve">Dr. M. </w:t>
            </w:r>
            <w:proofErr w:type="spellStart"/>
            <w:r w:rsidR="004D4EA3" w:rsidRPr="004D4EA3">
              <w:t>Gruhn</w:t>
            </w:r>
            <w:proofErr w:type="spellEnd"/>
            <w:r w:rsidR="004D4EA3" w:rsidRPr="004D4EA3">
              <w:t xml:space="preserve">, </w:t>
            </w:r>
            <w:r w:rsidR="00A71FA5">
              <w:t>Dr. S. Hess</w:t>
            </w:r>
            <w:r w:rsidR="004D4EA3" w:rsidRPr="004D4EA3">
              <w:t xml:space="preserve">, Prof. Dr. P. </w:t>
            </w:r>
            <w:r w:rsidR="00A71FA5">
              <w:t xml:space="preserve">Kloppenburg, Prof. Dr. M. </w:t>
            </w:r>
            <w:proofErr w:type="spellStart"/>
            <w:r w:rsidR="00A71FA5">
              <w:t>Nawrot</w:t>
            </w:r>
            <w:proofErr w:type="spellEnd"/>
            <w:r w:rsidR="00A71FA5">
              <w:t>, PD Dr. J. Schmidt</w:t>
            </w:r>
          </w:p>
        </w:tc>
      </w:tr>
      <w:tr w:rsidR="00B160A2" w:rsidTr="005A0743">
        <w:trPr>
          <w:trHeight w:hRule="exact" w:val="55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4D4EA3">
              <w:rPr>
                <w:rFonts w:eastAsia="Arial Narrow" w:cs="Arial Narrow"/>
                <w:spacing w:val="1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4F507A" w:rsidP="004F507A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4F507A">
              <w:rPr>
                <w:rFonts w:eastAsia="Times New Roman" w:cs="Times New Roman"/>
                <w:b/>
              </w:rPr>
              <w:t>Additional information</w:t>
            </w:r>
          </w:p>
          <w:p w:rsidR="00EF6C8E" w:rsidRPr="00EF6C8E" w:rsidRDefault="00EF6C8E" w:rsidP="00EF6C8E">
            <w:pPr>
              <w:spacing w:after="0"/>
              <w:ind w:left="57" w:right="57"/>
              <w:rPr>
                <w:b/>
              </w:rPr>
            </w:pPr>
            <w:r w:rsidRPr="00EF6C8E">
              <w:rPr>
                <w:b/>
              </w:rPr>
              <w:t xml:space="preserve">Subject module </w:t>
            </w:r>
            <w:r w:rsidRPr="00EF6C8E">
              <w:t>of the Master´s degree course “Biological Sciences”,</w:t>
            </w:r>
          </w:p>
          <w:p w:rsidR="004F507A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 xml:space="preserve">Focus of research: </w:t>
            </w:r>
            <w:r w:rsidRPr="00EF6C8E">
              <w:t>(N) Neurobiology</w:t>
            </w:r>
          </w:p>
          <w:p w:rsidR="00EF6C8E" w:rsidRDefault="00EF6C8E" w:rsidP="00EF6C8E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EF6C8E">
              <w:rPr>
                <w:rFonts w:eastAsia="Times New Roman" w:cs="Times New Roman"/>
                <w:b/>
              </w:rPr>
              <w:t>Literature: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  <w:p w:rsidR="004D4EA3" w:rsidRDefault="004D4EA3" w:rsidP="004D4EA3">
            <w:pPr>
              <w:pStyle w:val="KeinLeerraum"/>
              <w:numPr>
                <w:ilvl w:val="0"/>
                <w:numId w:val="22"/>
              </w:numPr>
            </w:pPr>
            <w:r w:rsidRPr="004D4EA3">
              <w:rPr>
                <w:lang w:val="de-DE"/>
              </w:rPr>
              <w:t xml:space="preserve">Kandel, E.R., et al. </w:t>
            </w:r>
            <w:r>
              <w:t>(2013) Principles of Neural Science. 5th edition (or older editions), McGraw-Hill</w:t>
            </w:r>
          </w:p>
          <w:p w:rsidR="004D4EA3" w:rsidRDefault="004D4EA3" w:rsidP="004D4EA3">
            <w:pPr>
              <w:pStyle w:val="KeinLeerraum"/>
              <w:numPr>
                <w:ilvl w:val="0"/>
                <w:numId w:val="22"/>
              </w:numPr>
            </w:pPr>
            <w:r w:rsidRPr="004D4EA3">
              <w:rPr>
                <w:lang w:val="de-DE"/>
              </w:rPr>
              <w:t xml:space="preserve">Byrne, J.H. et al. </w:t>
            </w:r>
            <w:r>
              <w:t>(2014) From Molecules to Networks: An Introduction to Cellular and Molecular Neuroscience. 3rd edition (or older editions), Academic Press</w:t>
            </w:r>
          </w:p>
          <w:p w:rsidR="004D4EA3" w:rsidRDefault="004D4EA3" w:rsidP="004D4EA3">
            <w:pPr>
              <w:pStyle w:val="KeinLeerraum"/>
              <w:numPr>
                <w:ilvl w:val="0"/>
                <w:numId w:val="22"/>
              </w:numPr>
            </w:pPr>
            <w:proofErr w:type="spellStart"/>
            <w:r>
              <w:t>Galizia</w:t>
            </w:r>
            <w:proofErr w:type="spellEnd"/>
            <w:r>
              <w:t xml:space="preserve">, C.G., </w:t>
            </w:r>
            <w:proofErr w:type="spellStart"/>
            <w:r>
              <w:t>Lledo</w:t>
            </w:r>
            <w:proofErr w:type="spellEnd"/>
            <w:r>
              <w:t xml:space="preserve">, P.-M. (2013) Neurosciences. Springer </w:t>
            </w:r>
            <w:proofErr w:type="spellStart"/>
            <w:r>
              <w:t>Spektrum</w:t>
            </w:r>
            <w:proofErr w:type="spellEnd"/>
          </w:p>
          <w:p w:rsidR="004D4EA3" w:rsidRDefault="004D4EA3" w:rsidP="004D4EA3">
            <w:pPr>
              <w:pStyle w:val="KeinLeerraum"/>
              <w:ind w:left="720"/>
            </w:pPr>
          </w:p>
          <w:p w:rsidR="004D4EA3" w:rsidRPr="004D4EA3" w:rsidRDefault="004D4EA3" w:rsidP="004D4EA3">
            <w:pPr>
              <w:spacing w:after="0"/>
              <w:ind w:left="57" w:right="57"/>
            </w:pPr>
            <w:r w:rsidRPr="004D4EA3">
              <w:rPr>
                <w:b/>
              </w:rPr>
              <w:t xml:space="preserve">General time schedule: </w:t>
            </w:r>
            <w:r w:rsidRPr="004D4EA3">
              <w:t>Week 1-6 (Mon. -Fri.): Lectures, practical/lab and preparation for the seminar talk (held at the end of week 6) as well as writing seminar paper; Week 7 (Mon.-Fri): Preparation for the written examination</w:t>
            </w:r>
          </w:p>
          <w:p w:rsidR="004D4EA3" w:rsidRPr="004D4EA3" w:rsidRDefault="004D4EA3" w:rsidP="004D4EA3">
            <w:pPr>
              <w:spacing w:after="0"/>
              <w:ind w:left="57" w:right="57"/>
            </w:pPr>
            <w:r w:rsidRPr="004D4EA3">
              <w:rPr>
                <w:b/>
              </w:rPr>
              <w:t>Note:</w:t>
            </w:r>
            <w:r w:rsidRPr="004D4EA3">
              <w:t xml:space="preserve"> The module contains hand-on laboratory work conducted individually and is taught in course rooms. The module does not contain computer-based </w:t>
            </w:r>
            <w:proofErr w:type="spellStart"/>
            <w:r w:rsidRPr="004D4EA3">
              <w:t>practicals</w:t>
            </w:r>
            <w:proofErr w:type="spellEnd"/>
            <w:r w:rsidRPr="004D4EA3">
              <w:t>/research as a main component.</w:t>
            </w:r>
          </w:p>
          <w:p w:rsidR="004D4EA3" w:rsidRPr="004D4EA3" w:rsidRDefault="004D4EA3" w:rsidP="004D4EA3">
            <w:pPr>
              <w:spacing w:after="0"/>
              <w:ind w:left="57" w:right="57"/>
            </w:pPr>
            <w:r w:rsidRPr="004D4EA3">
              <w:rPr>
                <w:b/>
              </w:rPr>
              <w:t>Introduction to the module:</w:t>
            </w:r>
            <w:r w:rsidR="00A71FA5">
              <w:t xml:space="preserve"> April 18, 2017</w:t>
            </w:r>
            <w:r w:rsidRPr="004D4EA3">
              <w:t xml:space="preserve"> at 9:00 a.m., Cologne </w:t>
            </w:r>
            <w:proofErr w:type="spellStart"/>
            <w:r w:rsidRPr="004D4EA3">
              <w:t>Biocenter</w:t>
            </w:r>
            <w:proofErr w:type="spellEnd"/>
            <w:r w:rsidRPr="004D4EA3">
              <w:t>, room 1.007 (first floor); for preparation to the module before this introduction see advice(s) under literature</w:t>
            </w:r>
          </w:p>
          <w:p w:rsidR="004F507A" w:rsidRPr="00EF6C8E" w:rsidRDefault="004D4EA3" w:rsidP="004D4EA3">
            <w:pPr>
              <w:spacing w:after="0"/>
              <w:ind w:left="57" w:right="57"/>
            </w:pPr>
            <w:r w:rsidRPr="004D4EA3">
              <w:rPr>
                <w:b/>
              </w:rPr>
              <w:t>Written examination:</w:t>
            </w:r>
            <w:r w:rsidR="002F7A6E">
              <w:t xml:space="preserve"> June 02, 2017</w:t>
            </w:r>
            <w:r w:rsidRPr="004D4EA3">
              <w:t>; more details will be given at the beginning of the module</w:t>
            </w:r>
          </w:p>
        </w:tc>
      </w:tr>
    </w:tbl>
    <w:p w:rsidR="005A0743" w:rsidRPr="00DA0F86" w:rsidRDefault="005A0743" w:rsidP="005A0743">
      <w:pPr>
        <w:spacing w:before="89"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bookmarkStart w:id="0" w:name="_GoBack"/>
      <w:bookmarkEnd w:id="0"/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2F7A6E" w:rsidRDefault="002F7A6E" w:rsidP="002F7A6E">
      <w:pPr>
        <w:spacing w:before="89" w:after="0" w:line="240" w:lineRule="auto"/>
        <w:ind w:right="-20"/>
        <w:rPr>
          <w:rFonts w:ascii="Arial" w:eastAsia="Arial" w:hAnsi="Arial" w:cs="Arial"/>
          <w:sz w:val="16"/>
          <w:szCs w:val="16"/>
          <w:lang w:val="en-ZA"/>
        </w:rPr>
      </w:pPr>
      <w:r w:rsidRPr="002F7A6E">
        <w:rPr>
          <w:rFonts w:ascii="Arial" w:eastAsia="Arial" w:hAnsi="Arial" w:cs="Arial"/>
          <w:b/>
          <w:bCs/>
          <w:position w:val="8"/>
          <w:sz w:val="10"/>
          <w:szCs w:val="10"/>
          <w:lang w:val="en-ZA"/>
        </w:rPr>
        <w:t xml:space="preserve">* </w:t>
      </w:r>
      <w:r w:rsidRPr="002F7A6E">
        <w:rPr>
          <w:rFonts w:ascii="Arial" w:eastAsia="Arial" w:hAnsi="Arial" w:cs="Arial"/>
          <w:sz w:val="16"/>
          <w:szCs w:val="16"/>
          <w:lang w:val="en-ZA"/>
        </w:rPr>
        <w:t>11students from the Master’s degree course „Biological Science</w:t>
      </w:r>
      <w:r>
        <w:rPr>
          <w:rFonts w:ascii="Arial" w:eastAsia="Arial" w:hAnsi="Arial" w:cs="Arial"/>
          <w:sz w:val="16"/>
          <w:szCs w:val="16"/>
          <w:lang w:val="en-ZA"/>
        </w:rPr>
        <w:t xml:space="preserve">s” and 5 students from the Master’s degree </w:t>
      </w:r>
      <w:proofErr w:type="spellStart"/>
      <w:r>
        <w:rPr>
          <w:rFonts w:ascii="Arial" w:eastAsia="Arial" w:hAnsi="Arial" w:cs="Arial"/>
          <w:sz w:val="16"/>
          <w:szCs w:val="16"/>
          <w:lang w:val="en-ZA"/>
        </w:rPr>
        <w:t>course“Klinische</w:t>
      </w:r>
      <w:proofErr w:type="spellEnd"/>
      <w:r>
        <w:rPr>
          <w:rFonts w:ascii="Arial" w:eastAsia="Arial" w:hAnsi="Arial" w:cs="Arial"/>
          <w:sz w:val="16"/>
          <w:szCs w:val="16"/>
          <w:lang w:val="en-ZA"/>
        </w:rPr>
        <w:t xml:space="preserve"> und </w:t>
      </w:r>
      <w:proofErr w:type="spellStart"/>
      <w:r>
        <w:rPr>
          <w:rFonts w:ascii="Arial" w:eastAsia="Arial" w:hAnsi="Arial" w:cs="Arial"/>
          <w:sz w:val="16"/>
          <w:szCs w:val="16"/>
          <w:lang w:val="en-ZA"/>
        </w:rPr>
        <w:t>Experimentelle</w:t>
      </w:r>
      <w:proofErr w:type="spellEnd"/>
      <w:r>
        <w:rPr>
          <w:rFonts w:ascii="Arial" w:eastAsia="Arial" w:hAnsi="Arial" w:cs="Arial"/>
          <w:sz w:val="16"/>
          <w:szCs w:val="16"/>
          <w:lang w:val="en-ZA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ZA"/>
        </w:rPr>
        <w:t>Neurowissenschaften</w:t>
      </w:r>
      <w:proofErr w:type="spellEnd"/>
      <w:r>
        <w:rPr>
          <w:rFonts w:ascii="Arial" w:eastAsia="Arial" w:hAnsi="Arial" w:cs="Arial"/>
          <w:sz w:val="16"/>
          <w:szCs w:val="16"/>
          <w:lang w:val="en-ZA"/>
        </w:rPr>
        <w:t>”</w:t>
      </w:r>
    </w:p>
    <w:sectPr w:rsidR="00C61D99" w:rsidRPr="002F7A6E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CEC"/>
    <w:multiLevelType w:val="hybridMultilevel"/>
    <w:tmpl w:val="0ADE479E"/>
    <w:lvl w:ilvl="0" w:tplc="AFDC0AC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91C1EF5"/>
    <w:multiLevelType w:val="hybridMultilevel"/>
    <w:tmpl w:val="FD4A9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775291"/>
    <w:multiLevelType w:val="hybridMultilevel"/>
    <w:tmpl w:val="91086648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5FF6AA4"/>
    <w:multiLevelType w:val="hybridMultilevel"/>
    <w:tmpl w:val="E62C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25A558F"/>
    <w:multiLevelType w:val="hybridMultilevel"/>
    <w:tmpl w:val="C7A8F38C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F17"/>
    <w:multiLevelType w:val="hybridMultilevel"/>
    <w:tmpl w:val="B4F80DF4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6D9"/>
    <w:multiLevelType w:val="hybridMultilevel"/>
    <w:tmpl w:val="8AE025B0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2017"/>
    <w:multiLevelType w:val="hybridMultilevel"/>
    <w:tmpl w:val="8C1A5618"/>
    <w:lvl w:ilvl="0" w:tplc="5700066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84C524C"/>
    <w:multiLevelType w:val="hybridMultilevel"/>
    <w:tmpl w:val="8A3CBF06"/>
    <w:lvl w:ilvl="0" w:tplc="C58632F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49E62EDA"/>
    <w:multiLevelType w:val="hybridMultilevel"/>
    <w:tmpl w:val="914471F0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ECF271F"/>
    <w:multiLevelType w:val="hybridMultilevel"/>
    <w:tmpl w:val="3FA4D2E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32D5C"/>
    <w:multiLevelType w:val="hybridMultilevel"/>
    <w:tmpl w:val="AD309B2A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9C3505E"/>
    <w:multiLevelType w:val="hybridMultilevel"/>
    <w:tmpl w:val="CED8D34A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2CA24A1"/>
    <w:multiLevelType w:val="hybridMultilevel"/>
    <w:tmpl w:val="E974C85C"/>
    <w:lvl w:ilvl="0" w:tplc="C6EAAE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5BF290E"/>
    <w:multiLevelType w:val="hybridMultilevel"/>
    <w:tmpl w:val="613820D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773CF"/>
    <w:multiLevelType w:val="hybridMultilevel"/>
    <w:tmpl w:val="2E3C1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7"/>
  </w:num>
  <w:num w:numId="9">
    <w:abstractNumId w:val="11"/>
  </w:num>
  <w:num w:numId="10">
    <w:abstractNumId w:val="19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8"/>
  </w:num>
  <w:num w:numId="17">
    <w:abstractNumId w:val="21"/>
  </w:num>
  <w:num w:numId="18">
    <w:abstractNumId w:val="16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C450E"/>
    <w:rsid w:val="00116F5D"/>
    <w:rsid w:val="001219D7"/>
    <w:rsid w:val="00125AEF"/>
    <w:rsid w:val="002B1D4B"/>
    <w:rsid w:val="002F7A6E"/>
    <w:rsid w:val="004B3975"/>
    <w:rsid w:val="004D4EA3"/>
    <w:rsid w:val="004F507A"/>
    <w:rsid w:val="005A0743"/>
    <w:rsid w:val="00646B93"/>
    <w:rsid w:val="006D43AE"/>
    <w:rsid w:val="008837A5"/>
    <w:rsid w:val="0094629E"/>
    <w:rsid w:val="00A71FA5"/>
    <w:rsid w:val="00AA18C9"/>
    <w:rsid w:val="00B01AF9"/>
    <w:rsid w:val="00B160A2"/>
    <w:rsid w:val="00C175EF"/>
    <w:rsid w:val="00C61D99"/>
    <w:rsid w:val="00CE26F3"/>
    <w:rsid w:val="00D4372E"/>
    <w:rsid w:val="00E64D03"/>
    <w:rsid w:val="00EF6C8E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095"/>
  <w15:docId w15:val="{BF699B7E-960C-49DB-AD82-EC9BB7E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EF6C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chim.schmidt@uni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la ninja</cp:lastModifiedBy>
  <cp:revision>3</cp:revision>
  <dcterms:created xsi:type="dcterms:W3CDTF">2017-02-13T13:25:00Z</dcterms:created>
  <dcterms:modified xsi:type="dcterms:W3CDTF">2017-02-14T20:42:00Z</dcterms:modified>
</cp:coreProperties>
</file>