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ED5C8C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</w:rPr>
            </w:pPr>
          </w:p>
          <w:p w:rsidR="00C175EF" w:rsidRPr="00116F5D" w:rsidRDefault="002B1D4B" w:rsidP="00ED5C8C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Patho</w:t>
            </w:r>
            <w:proofErr w:type="spellEnd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-)</w:t>
            </w:r>
            <w:proofErr w:type="spellStart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biochemie</w:t>
            </w:r>
            <w:proofErr w:type="spellEnd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 xml:space="preserve"> und (</w:t>
            </w:r>
            <w:proofErr w:type="spellStart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Patho</w:t>
            </w:r>
            <w:proofErr w:type="spellEnd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-)</w:t>
            </w:r>
            <w:proofErr w:type="spellStart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>physiologie</w:t>
            </w:r>
            <w:proofErr w:type="spellEnd"/>
            <w:r w:rsidR="00ED5C8C" w:rsidRPr="00ED5C8C">
              <w:rPr>
                <w:rFonts w:eastAsia="Times New Roman" w:cs="Times New Roman"/>
                <w:b/>
                <w:sz w:val="24"/>
                <w:szCs w:val="24"/>
              </w:rPr>
              <w:t xml:space="preserve"> des Nervensystems 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ED5C8C">
              <w:rPr>
                <w:lang w:val="de-DE"/>
              </w:rPr>
              <w:t>13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ED5C8C" w:rsidP="000212C3">
            <w:pPr>
              <w:pStyle w:val="KeinLeerraum"/>
              <w:ind w:right="57"/>
              <w:jc w:val="center"/>
            </w:pPr>
            <w:r>
              <w:t>5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ED5C8C">
        <w:trPr>
          <w:trHeight w:hRule="exact" w:val="15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ED5C8C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ED5C8C" w:rsidRDefault="00ED5C8C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Fachtutorium</w:t>
            </w:r>
            <w:proofErr w:type="spellEnd"/>
            <w:r>
              <w:t xml:space="preserve"> (FT)</w:t>
            </w:r>
          </w:p>
          <w:p w:rsidR="00ED5C8C" w:rsidRDefault="00ED5C8C" w:rsidP="00ED5C8C">
            <w:pPr>
              <w:pStyle w:val="KeinLeerraum"/>
              <w:ind w:left="417" w:right="57"/>
            </w:pPr>
            <w:r>
              <w:t>(optional)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ED5C8C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10</w:t>
            </w:r>
            <w:r w:rsidR="00D4372E">
              <w:t>h</w:t>
            </w:r>
          </w:p>
          <w:p w:rsidR="00D4372E" w:rsidRDefault="00ED5C8C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10</w:t>
            </w:r>
            <w:r w:rsidR="00D4372E">
              <w:t>h</w:t>
            </w:r>
          </w:p>
          <w:p w:rsidR="00ED5C8C" w:rsidRDefault="00ED5C8C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Bedarf</w:t>
            </w:r>
            <w:proofErr w:type="spellEnd"/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r>
              <w:rPr>
                <w:b/>
              </w:rPr>
              <w:t>Selbststudium</w:t>
            </w:r>
          </w:p>
          <w:p w:rsidR="00D4372E" w:rsidRDefault="008B2C6B" w:rsidP="00D4372E">
            <w:pPr>
              <w:pStyle w:val="KeinLeerraum"/>
              <w:ind w:left="57" w:right="57"/>
            </w:pPr>
            <w:r>
              <w:t>1</w:t>
            </w:r>
            <w:r w:rsidR="00ED5C8C">
              <w:t>60</w:t>
            </w:r>
            <w:r>
              <w:t xml:space="preserve">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ED5C8C">
              <w:rPr>
                <w:lang w:val="de-DE"/>
              </w:rPr>
              <w:t>Ü</w:t>
            </w:r>
            <w:r>
              <w:rPr>
                <w:lang w:val="de-DE"/>
              </w:rPr>
              <w:t xml:space="preserve"> 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ED5C8C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ED5C8C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ED5C8C" w:rsidRPr="008B2C6B" w:rsidRDefault="00ED5C8C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>
              <w:rPr>
                <w:lang w:val="de-DE"/>
              </w:rPr>
              <w:t>nicht voraussagbar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ED5C8C" w:rsidTr="00ED5C8C">
        <w:trPr>
          <w:trHeight w:hRule="exact" w:val="184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 xml:space="preserve">Nach Abschluss des Moduls </w:t>
            </w:r>
            <w:r w:rsidR="00ED5C8C">
              <w:rPr>
                <w:lang w:val="de-DE"/>
              </w:rPr>
              <w:t>besitzt</w:t>
            </w:r>
            <w:r w:rsidRPr="00F73FC1">
              <w:rPr>
                <w:lang w:val="de-DE"/>
              </w:rPr>
              <w:t xml:space="preserve"> der/die Studierende die </w:t>
            </w:r>
            <w:r w:rsidR="00ED5C8C">
              <w:rPr>
                <w:lang w:val="de-DE"/>
              </w:rPr>
              <w:t>K</w:t>
            </w:r>
            <w:r w:rsidRPr="00F73FC1">
              <w:rPr>
                <w:lang w:val="de-DE"/>
              </w:rPr>
              <w:t>enntnisse in</w:t>
            </w:r>
            <w:r>
              <w:rPr>
                <w:lang w:val="de-DE"/>
              </w:rPr>
              <w:t>...</w:t>
            </w:r>
          </w:p>
          <w:p w:rsidR="00F73FC1" w:rsidRPr="00F73FC1" w:rsidRDefault="00ED5C8C" w:rsidP="00ED5C8C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die mole</w:t>
            </w:r>
            <w:r w:rsidRPr="00ED5C8C">
              <w:rPr>
                <w:lang w:val="de-DE"/>
              </w:rPr>
              <w:t>kularen und zellbiologischen Grundlagen d</w:t>
            </w:r>
            <w:r>
              <w:rPr>
                <w:lang w:val="de-DE"/>
              </w:rPr>
              <w:t>es zentralen und peripheren Ner</w:t>
            </w:r>
            <w:r w:rsidRPr="00ED5C8C">
              <w:rPr>
                <w:lang w:val="de-DE"/>
              </w:rPr>
              <w:t>vensystems. Bei der Auswahl der Theme</w:t>
            </w:r>
            <w:r>
              <w:rPr>
                <w:lang w:val="de-DE"/>
              </w:rPr>
              <w:t>n wird Bezug genommen auf neuro</w:t>
            </w:r>
            <w:r w:rsidRPr="00ED5C8C">
              <w:rPr>
                <w:lang w:val="de-DE"/>
              </w:rPr>
              <w:t>logisch häufig vorkommende Erkrankungen des peripheren und zentralen Nervensystems. Die Bedeutung von Spurenmetallkationen (Zn2+, Cu2+) wird vertiefend dargestellt.</w:t>
            </w:r>
          </w:p>
        </w:tc>
      </w:tr>
      <w:tr w:rsidR="00B160A2" w:rsidRPr="00ED5C8C" w:rsidTr="00ED5C8C">
        <w:trPr>
          <w:trHeight w:hRule="exact" w:val="749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>Molekulare Grundlagen zellulärer Erregbarkeit (Ruhemembranpotential; Aktionspotential; molekulare Grundlagen der beteiligten Transporter und Ionenkanäle für Fortgeschrittene).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Myelinscheiden, Bedeutung der Neuroglia, Mausmodelle (periphere und zentrale Myelinscheiden; beteiligte </w:t>
            </w:r>
            <w:proofErr w:type="spellStart"/>
            <w:r w:rsidRPr="00ED5C8C">
              <w:rPr>
                <w:lang w:val="de-DE"/>
              </w:rPr>
              <w:t>Proteolipide</w:t>
            </w:r>
            <w:proofErr w:type="spellEnd"/>
            <w:r w:rsidRPr="00ED5C8C">
              <w:rPr>
                <w:lang w:val="de-DE"/>
              </w:rPr>
              <w:t xml:space="preserve">; Mutationen und </w:t>
            </w:r>
            <w:proofErr w:type="spellStart"/>
            <w:r w:rsidRPr="00ED5C8C">
              <w:rPr>
                <w:lang w:val="de-DE"/>
              </w:rPr>
              <w:t>demyelinisierende</w:t>
            </w:r>
            <w:proofErr w:type="spellEnd"/>
            <w:r w:rsidRPr="00ED5C8C">
              <w:rPr>
                <w:lang w:val="de-DE"/>
              </w:rPr>
              <w:t xml:space="preserve"> Erkrankungen; </w:t>
            </w:r>
            <w:proofErr w:type="spellStart"/>
            <w:r w:rsidRPr="00ED5C8C">
              <w:rPr>
                <w:lang w:val="de-DE"/>
              </w:rPr>
              <w:t>Gliotransmitter</w:t>
            </w:r>
            <w:proofErr w:type="spellEnd"/>
            <w:r w:rsidRPr="00ED5C8C">
              <w:rPr>
                <w:lang w:val="de-DE"/>
              </w:rPr>
              <w:t>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>Synapse, strukturelle Bestandteile und Besonderheiten, funktionelle Spezialisierung (</w:t>
            </w:r>
            <w:proofErr w:type="spellStart"/>
            <w:r w:rsidRPr="00ED5C8C">
              <w:rPr>
                <w:lang w:val="de-DE"/>
              </w:rPr>
              <w:t>exzitatorische</w:t>
            </w:r>
            <w:proofErr w:type="spellEnd"/>
            <w:r w:rsidRPr="00ED5C8C">
              <w:rPr>
                <w:lang w:val="de-DE"/>
              </w:rPr>
              <w:t xml:space="preserve">, </w:t>
            </w:r>
            <w:proofErr w:type="spellStart"/>
            <w:r w:rsidRPr="00ED5C8C">
              <w:rPr>
                <w:lang w:val="de-DE"/>
              </w:rPr>
              <w:t>inhibitorische</w:t>
            </w:r>
            <w:proofErr w:type="spellEnd"/>
            <w:r w:rsidRPr="00ED5C8C">
              <w:rPr>
                <w:lang w:val="de-DE"/>
              </w:rPr>
              <w:t xml:space="preserve"> Synapsen; synaptische </w:t>
            </w:r>
            <w:proofErr w:type="spellStart"/>
            <w:r w:rsidRPr="00ED5C8C">
              <w:rPr>
                <w:lang w:val="de-DE"/>
              </w:rPr>
              <w:t>Vesikelproteine</w:t>
            </w:r>
            <w:proofErr w:type="spellEnd"/>
            <w:r w:rsidRPr="00ED5C8C">
              <w:rPr>
                <w:lang w:val="de-DE"/>
              </w:rPr>
              <w:t>; funktionelle Spezialisierung am Bsp. der neuromuskulären Endplatte und der Riesensynapse (</w:t>
            </w:r>
            <w:proofErr w:type="spellStart"/>
            <w:r w:rsidRPr="00ED5C8C">
              <w:rPr>
                <w:lang w:val="de-DE"/>
              </w:rPr>
              <w:t>Held'sche</w:t>
            </w:r>
            <w:proofErr w:type="spellEnd"/>
            <w:r w:rsidRPr="00ED5C8C">
              <w:rPr>
                <w:lang w:val="de-DE"/>
              </w:rPr>
              <w:t xml:space="preserve"> </w:t>
            </w:r>
            <w:proofErr w:type="spellStart"/>
            <w:r w:rsidRPr="00ED5C8C">
              <w:rPr>
                <w:lang w:val="de-DE"/>
              </w:rPr>
              <w:t>Calyx</w:t>
            </w:r>
            <w:proofErr w:type="spellEnd"/>
            <w:r w:rsidRPr="00ED5C8C">
              <w:rPr>
                <w:lang w:val="de-DE"/>
              </w:rPr>
              <w:t>)).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Sekretion und </w:t>
            </w:r>
            <w:proofErr w:type="spellStart"/>
            <w:r w:rsidRPr="00ED5C8C">
              <w:rPr>
                <w:lang w:val="de-DE"/>
              </w:rPr>
              <w:t>Endozytose</w:t>
            </w:r>
            <w:proofErr w:type="spellEnd"/>
            <w:r w:rsidRPr="00ED5C8C">
              <w:rPr>
                <w:lang w:val="de-DE"/>
              </w:rPr>
              <w:t xml:space="preserve"> (</w:t>
            </w:r>
            <w:proofErr w:type="spellStart"/>
            <w:r w:rsidRPr="00ED5C8C">
              <w:rPr>
                <w:lang w:val="de-DE"/>
              </w:rPr>
              <w:t>Zytomatrix</w:t>
            </w:r>
            <w:proofErr w:type="spellEnd"/>
            <w:r w:rsidRPr="00ED5C8C">
              <w:rPr>
                <w:lang w:val="de-DE"/>
              </w:rPr>
              <w:t xml:space="preserve">, </w:t>
            </w:r>
            <w:proofErr w:type="spellStart"/>
            <w:r w:rsidRPr="00ED5C8C">
              <w:rPr>
                <w:lang w:val="de-DE"/>
              </w:rPr>
              <w:t>Trafficking</w:t>
            </w:r>
            <w:proofErr w:type="spellEnd"/>
            <w:r w:rsidRPr="00ED5C8C">
              <w:rPr>
                <w:lang w:val="de-DE"/>
              </w:rPr>
              <w:t xml:space="preserve">, beteiligte Proteine, Mechanismen der Ca2+-gesteuerten Neurotransmitter-Freisetzung, </w:t>
            </w:r>
            <w:proofErr w:type="spellStart"/>
            <w:r w:rsidRPr="00ED5C8C">
              <w:rPr>
                <w:lang w:val="de-DE"/>
              </w:rPr>
              <w:t>Clathrin</w:t>
            </w:r>
            <w:proofErr w:type="spellEnd"/>
            <w:r w:rsidRPr="00ED5C8C">
              <w:rPr>
                <w:lang w:val="de-DE"/>
              </w:rPr>
              <w:t xml:space="preserve">-vermittelte </w:t>
            </w:r>
            <w:proofErr w:type="spellStart"/>
            <w:r w:rsidRPr="00ED5C8C">
              <w:rPr>
                <w:lang w:val="de-DE"/>
              </w:rPr>
              <w:t>Endozytose</w:t>
            </w:r>
            <w:proofErr w:type="spellEnd"/>
            <w:r w:rsidRPr="00ED5C8C">
              <w:rPr>
                <w:lang w:val="de-DE"/>
              </w:rPr>
              <w:t>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>Molekulare Grundlagen neurodegenerativer Erkrankungen am Bsp. von M.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Alzheimer (allgemeine </w:t>
            </w:r>
            <w:proofErr w:type="spellStart"/>
            <w:r w:rsidRPr="00ED5C8C">
              <w:rPr>
                <w:lang w:val="de-DE"/>
              </w:rPr>
              <w:t>Pathomechanismen</w:t>
            </w:r>
            <w:proofErr w:type="spellEnd"/>
            <w:r w:rsidRPr="00ED5C8C">
              <w:rPr>
                <w:lang w:val="de-DE"/>
              </w:rPr>
              <w:t xml:space="preserve"> bei neurodegenerativen Erkrankungen; Alzheimerproteine und ihre Funktion in vivo; zelluläre Tangles und Hyperphosphorylierung).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Konvulsive und non-konvulsive </w:t>
            </w:r>
            <w:proofErr w:type="spellStart"/>
            <w:r w:rsidRPr="00ED5C8C">
              <w:rPr>
                <w:lang w:val="de-DE"/>
              </w:rPr>
              <w:t>Pathobiochemie</w:t>
            </w:r>
            <w:proofErr w:type="spellEnd"/>
            <w:r w:rsidRPr="00ED5C8C">
              <w:rPr>
                <w:lang w:val="de-DE"/>
              </w:rPr>
              <w:t xml:space="preserve"> und –</w:t>
            </w:r>
            <w:proofErr w:type="spellStart"/>
            <w:r w:rsidRPr="00ED5C8C">
              <w:rPr>
                <w:lang w:val="de-DE"/>
              </w:rPr>
              <w:t>physiologie</w:t>
            </w:r>
            <w:proofErr w:type="spellEnd"/>
            <w:r w:rsidRPr="00ED5C8C">
              <w:rPr>
                <w:lang w:val="de-DE"/>
              </w:rPr>
              <w:t xml:space="preserve"> (tierexperimentelle Untersuchungsmethoden (Telemetrie); Modellvorstellungen zur Entstehung zellulärer Übererregbarkeit).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>Bedeutung von Spurenmetallkationen bei der neuronalen Erregungsbildung und -</w:t>
            </w:r>
            <w:proofErr w:type="spellStart"/>
            <w:r w:rsidRPr="00ED5C8C">
              <w:rPr>
                <w:lang w:val="de-DE"/>
              </w:rPr>
              <w:t>fortleitung</w:t>
            </w:r>
            <w:proofErr w:type="spellEnd"/>
            <w:r w:rsidRPr="00ED5C8C">
              <w:rPr>
                <w:lang w:val="de-DE"/>
              </w:rPr>
              <w:t>. Molekulare Targets für Zn2+ und Cu2+.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Molekulare Grundlagen der </w:t>
            </w:r>
            <w:proofErr w:type="spellStart"/>
            <w:r w:rsidRPr="00ED5C8C">
              <w:rPr>
                <w:lang w:val="de-DE"/>
              </w:rPr>
              <w:t>retinalen</w:t>
            </w:r>
            <w:proofErr w:type="spellEnd"/>
            <w:r w:rsidRPr="00ED5C8C">
              <w:rPr>
                <w:lang w:val="de-DE"/>
              </w:rPr>
              <w:t xml:space="preserve"> Erregungsbildung und –</w:t>
            </w:r>
            <w:proofErr w:type="spellStart"/>
            <w:r w:rsidRPr="00ED5C8C">
              <w:rPr>
                <w:lang w:val="de-DE"/>
              </w:rPr>
              <w:t>fortleitung</w:t>
            </w:r>
            <w:proofErr w:type="spellEnd"/>
            <w:r w:rsidRPr="00ED5C8C">
              <w:rPr>
                <w:lang w:val="de-DE"/>
              </w:rPr>
              <w:t>.</w:t>
            </w:r>
          </w:p>
          <w:p w:rsidR="00F73FC1" w:rsidRPr="00ED5C8C" w:rsidRDefault="00ED5C8C" w:rsidP="00ED5C8C">
            <w:pPr>
              <w:pStyle w:val="KeinLeerraum"/>
              <w:numPr>
                <w:ilvl w:val="0"/>
                <w:numId w:val="9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Augenhintergrund-Untersuchung und Quantifizierung der Gefäßweitenänderungen in Abhängigkeit von Lichtintensität und </w:t>
            </w:r>
            <w:proofErr w:type="spellStart"/>
            <w:r w:rsidRPr="00ED5C8C">
              <w:rPr>
                <w:lang w:val="de-DE"/>
              </w:rPr>
              <w:t>pathobiochemischer</w:t>
            </w:r>
            <w:proofErr w:type="spellEnd"/>
            <w:r w:rsidRPr="00ED5C8C">
              <w:rPr>
                <w:lang w:val="de-DE"/>
              </w:rPr>
              <w:t xml:space="preserve"> Vorbehandlung (Modelle für die Prädiktion von </w:t>
            </w:r>
            <w:proofErr w:type="spellStart"/>
            <w:r w:rsidRPr="00ED5C8C">
              <w:rPr>
                <w:lang w:val="de-DE"/>
              </w:rPr>
              <w:t>Vasospasmus</w:t>
            </w:r>
            <w:proofErr w:type="spellEnd"/>
            <w:r w:rsidRPr="00ED5C8C">
              <w:rPr>
                <w:lang w:val="de-DE"/>
              </w:rPr>
              <w:t xml:space="preserve"> nach </w:t>
            </w:r>
            <w:proofErr w:type="spellStart"/>
            <w:r w:rsidRPr="00ED5C8C">
              <w:rPr>
                <w:lang w:val="de-DE"/>
              </w:rPr>
              <w:t>Subarachnoidalblutungen</w:t>
            </w:r>
            <w:proofErr w:type="spellEnd"/>
            <w:r w:rsidRPr="00ED5C8C">
              <w:rPr>
                <w:lang w:val="de-DE"/>
              </w:rPr>
              <w:t>).</w:t>
            </w:r>
          </w:p>
        </w:tc>
      </w:tr>
      <w:tr w:rsidR="00B160A2" w:rsidRPr="00ED5C8C" w:rsidTr="00ED5C8C">
        <w:trPr>
          <w:trHeight w:hRule="exact" w:val="15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ED5C8C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ED5C8C">
              <w:rPr>
                <w:b/>
                <w:lang w:val="de-DE"/>
              </w:rPr>
              <w:t>Lehrformen</w:t>
            </w:r>
          </w:p>
          <w:p w:rsidR="00F73FC1" w:rsidRPr="00160B32" w:rsidRDefault="00ED5C8C" w:rsidP="00577F44">
            <w:pPr>
              <w:pStyle w:val="KeinLeerraum"/>
              <w:ind w:left="57" w:right="57"/>
              <w:rPr>
                <w:lang w:val="de-DE"/>
              </w:rPr>
            </w:pPr>
            <w:r w:rsidRPr="00ED5C8C">
              <w:rPr>
                <w:lang w:val="de-DE"/>
              </w:rPr>
              <w:t xml:space="preserve">Vorlesung und Seminare mit Anleitung zur selbstständigen Literaturarbeit. Zu den Themen werden jeweils abgeschlossene </w:t>
            </w:r>
            <w:proofErr w:type="spellStart"/>
            <w:r w:rsidRPr="00ED5C8C">
              <w:rPr>
                <w:lang w:val="de-DE"/>
              </w:rPr>
              <w:t>Vorträge</w:t>
            </w:r>
            <w:proofErr w:type="spellEnd"/>
            <w:r w:rsidRPr="00ED5C8C">
              <w:rPr>
                <w:lang w:val="de-DE"/>
              </w:rPr>
              <w:t xml:space="preserve"> mit anschließender Diskussion und Gruppenarbeit angeboten. Die Lehrveranstaltung findet in der Institutsbibliothek statt, um den Charakter einer separaten Veranstaltun</w:t>
            </w:r>
            <w:r w:rsidR="00F11D2D">
              <w:rPr>
                <w:lang w:val="de-DE"/>
              </w:rPr>
              <w:t>g nur für Studierende der Neuro</w:t>
            </w:r>
            <w:r w:rsidRPr="00ED5C8C">
              <w:rPr>
                <w:lang w:val="de-DE"/>
              </w:rPr>
              <w:t>wissenschaft sicher zu stellen.</w:t>
            </w:r>
          </w:p>
        </w:tc>
      </w:tr>
      <w:tr w:rsidR="00B160A2" w:rsidRPr="00ED5C8C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ED5C8C" w:rsidRPr="00ED5C8C" w:rsidRDefault="00F73FC1" w:rsidP="00ED5C8C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ED5C8C" w:rsidRPr="00ED5C8C">
              <w:rPr>
                <w:lang w:val="de-DE"/>
              </w:rPr>
              <w:t>Erwünscht sind Grundkenntnisse, die in den Modulen „Biochemie“ und</w:t>
            </w:r>
          </w:p>
          <w:p w:rsidR="00CE26F3" w:rsidRPr="00160B32" w:rsidRDefault="00ED5C8C" w:rsidP="00ED5C8C">
            <w:pPr>
              <w:pStyle w:val="KeinLeerraum"/>
              <w:ind w:left="57" w:right="57"/>
              <w:rPr>
                <w:lang w:val="de-DE"/>
              </w:rPr>
            </w:pPr>
            <w:r w:rsidRPr="00ED5C8C">
              <w:rPr>
                <w:lang w:val="de-DE"/>
              </w:rPr>
              <w:t>„Physiologie“ erworben wurden.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2B1D4B" w:rsidTr="00E212A1">
        <w:trPr>
          <w:trHeight w:hRule="exact" w:val="17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ED5C8C" w:rsidRPr="00ED5C8C">
              <w:rPr>
                <w:lang w:val="de-DE"/>
              </w:rPr>
              <w:t>Regelmäßige Teilnahme und aktive Mitarbeit nach ausreichender Vorbereitung.</w:t>
            </w:r>
          </w:p>
          <w:p w:rsidR="00BD0FB7" w:rsidRDefault="00160B32" w:rsidP="00E212A1">
            <w:pPr>
              <w:pStyle w:val="KeinLeerraum"/>
              <w:ind w:left="57" w:right="57"/>
              <w:rPr>
                <w:lang w:val="de-DE"/>
              </w:rPr>
            </w:pPr>
            <w:r w:rsidRPr="00E212A1">
              <w:rPr>
                <w:b/>
                <w:lang w:val="de-DE"/>
              </w:rPr>
              <w:t xml:space="preserve">Abschlussprüfung: </w:t>
            </w:r>
            <w:r w:rsidR="00BD0FB7">
              <w:rPr>
                <w:lang w:val="de-DE"/>
              </w:rPr>
              <w:t>K</w:t>
            </w:r>
            <w:r w:rsidR="00BD0FB7" w:rsidRPr="00BD0FB7">
              <w:rPr>
                <w:lang w:val="de-DE"/>
              </w:rPr>
              <w:t xml:space="preserve">lausur </w:t>
            </w:r>
            <w:r w:rsidR="00BD0FB7">
              <w:rPr>
                <w:lang w:val="de-DE"/>
              </w:rPr>
              <w:t>(</w:t>
            </w:r>
            <w:r w:rsidR="00BD0FB7" w:rsidRPr="00BD0FB7">
              <w:rPr>
                <w:lang w:val="de-DE"/>
              </w:rPr>
              <w:t>multiple-</w:t>
            </w:r>
            <w:proofErr w:type="spellStart"/>
            <w:r w:rsidR="00BD0FB7" w:rsidRPr="00BD0FB7">
              <w:rPr>
                <w:lang w:val="de-DE"/>
              </w:rPr>
              <w:t>choice</w:t>
            </w:r>
            <w:proofErr w:type="spellEnd"/>
            <w:r w:rsidR="00BD0FB7">
              <w:rPr>
                <w:lang w:val="de-DE"/>
              </w:rPr>
              <w:t xml:space="preserve">, </w:t>
            </w:r>
            <w:r w:rsidR="00BD0FB7" w:rsidRPr="00E212A1">
              <w:rPr>
                <w:lang w:val="de-DE"/>
              </w:rPr>
              <w:t>Dauer: 1 Stunde)</w:t>
            </w:r>
          </w:p>
          <w:p w:rsidR="00E212A1" w:rsidRPr="00E212A1" w:rsidRDefault="00E212A1" w:rsidP="00E212A1">
            <w:pPr>
              <w:pStyle w:val="KeinLeerraum"/>
              <w:ind w:left="57" w:right="57"/>
              <w:rPr>
                <w:b/>
                <w:lang w:val="de-DE"/>
              </w:rPr>
            </w:pPr>
          </w:p>
        </w:tc>
      </w:tr>
      <w:tr w:rsidR="00B160A2" w:rsidRPr="000212C3" w:rsidTr="006C4D71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BD0FB7" w:rsidRDefault="00BD0FB7" w:rsidP="00F845EE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 xml:space="preserve">Bestehen der Abschlussklausur </w:t>
            </w:r>
            <w:bookmarkStart w:id="0" w:name="_GoBack"/>
            <w:bookmarkEnd w:id="0"/>
          </w:p>
        </w:tc>
      </w:tr>
      <w:tr w:rsidR="00B160A2" w:rsidRPr="00ED5C8C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ED5C8C" w:rsidP="00ED5C8C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577F44" w:rsidRPr="00577F44">
              <w:rPr>
                <w:lang w:val="de-DE"/>
              </w:rPr>
              <w:t>flichtmodul im Bachelor</w:t>
            </w:r>
            <w:r>
              <w:rPr>
                <w:lang w:val="de-DE"/>
              </w:rPr>
              <w:t>studiengang Neurowissenschaften</w:t>
            </w:r>
          </w:p>
        </w:tc>
      </w:tr>
      <w:tr w:rsidR="00B160A2" w:rsidRPr="00ED5C8C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ED5C8C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ED5C8C">
              <w:rPr>
                <w:lang w:val="de-DE"/>
              </w:rPr>
              <w:t>4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577F44" w:rsidTr="006C4D71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ED5C8C" w:rsidRPr="00ED5C8C">
              <w:rPr>
                <w:lang w:val="de-DE"/>
              </w:rPr>
              <w:t>Prof. Dr. T. Schneider, Tel</w:t>
            </w:r>
            <w:r w:rsidR="00ED5C8C">
              <w:rPr>
                <w:lang w:val="de-DE"/>
              </w:rPr>
              <w:t xml:space="preserve">. 478-6946, </w:t>
            </w:r>
            <w:r w:rsidR="00F845EE">
              <w:fldChar w:fldCharType="begin"/>
            </w:r>
            <w:r w:rsidR="00F845EE" w:rsidRPr="00F845EE">
              <w:rPr>
                <w:lang w:val="de-DE"/>
              </w:rPr>
              <w:instrText xml:space="preserve"> HYPERLINK "mailto:toni.schneider@uni-koeln.de" </w:instrText>
            </w:r>
            <w:r w:rsidR="00F845EE">
              <w:fldChar w:fldCharType="separate"/>
            </w:r>
            <w:r w:rsidR="00ED5C8C" w:rsidRPr="00F3458B">
              <w:rPr>
                <w:rStyle w:val="Hyperlink"/>
                <w:lang w:val="de-DE"/>
              </w:rPr>
              <w:t>toni.schneider@uni-koeln.de</w:t>
            </w:r>
            <w:r w:rsidR="00F845EE">
              <w:rPr>
                <w:rStyle w:val="Hyperlink"/>
                <w:lang w:val="de-DE"/>
              </w:rPr>
              <w:fldChar w:fldCharType="end"/>
            </w:r>
            <w:r w:rsidR="00ED5C8C">
              <w:rPr>
                <w:lang w:val="de-DE"/>
              </w:rPr>
              <w:t xml:space="preserve"> 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ED5C8C" w:rsidRPr="00ED5C8C">
              <w:rPr>
                <w:lang w:val="de-DE"/>
              </w:rPr>
              <w:t>Felix Neumaier (</w:t>
            </w:r>
            <w:proofErr w:type="spellStart"/>
            <w:r w:rsidR="00ED5C8C" w:rsidRPr="00ED5C8C">
              <w:rPr>
                <w:lang w:val="de-DE"/>
              </w:rPr>
              <w:t>M.Sc</w:t>
            </w:r>
            <w:proofErr w:type="spellEnd"/>
            <w:r w:rsidR="00ED5C8C" w:rsidRPr="00ED5C8C">
              <w:rPr>
                <w:lang w:val="de-DE"/>
              </w:rPr>
              <w:t xml:space="preserve">. </w:t>
            </w:r>
            <w:proofErr w:type="spellStart"/>
            <w:r w:rsidR="00ED5C8C" w:rsidRPr="00ED5C8C">
              <w:rPr>
                <w:lang w:val="de-DE"/>
              </w:rPr>
              <w:t>Neuroscience</w:t>
            </w:r>
            <w:proofErr w:type="spellEnd"/>
            <w:r w:rsidR="00ED5C8C" w:rsidRPr="00ED5C8C">
              <w:rPr>
                <w:lang w:val="de-DE"/>
              </w:rPr>
              <w:t xml:space="preserve">), PD Dr. Markus </w:t>
            </w:r>
            <w:proofErr w:type="spellStart"/>
            <w:r w:rsidR="00ED5C8C" w:rsidRPr="00ED5C8C">
              <w:rPr>
                <w:lang w:val="de-DE"/>
              </w:rPr>
              <w:t>Plomann</w:t>
            </w:r>
            <w:proofErr w:type="spellEnd"/>
            <w:r w:rsidR="00ED5C8C" w:rsidRPr="00ED5C8C">
              <w:rPr>
                <w:lang w:val="de-DE"/>
              </w:rPr>
              <w:t>, Prof. Dr. T. Schneider.</w:t>
            </w:r>
          </w:p>
        </w:tc>
      </w:tr>
      <w:tr w:rsidR="00B160A2" w:rsidRPr="00ED5C8C" w:rsidTr="00ED5C8C">
        <w:trPr>
          <w:trHeight w:hRule="exact" w:val="52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</w:rPr>
            </w:pPr>
            <w:r w:rsidRPr="000A5760">
              <w:rPr>
                <w:rFonts w:eastAsia="Times New Roman" w:cs="Times New Roman"/>
                <w:b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</w:rPr>
            </w:pPr>
            <w:r>
              <w:rPr>
                <w:rFonts w:eastAsia="Arial Narrow"/>
                <w:b/>
              </w:rPr>
              <w:t>P</w:t>
            </w:r>
            <w:r w:rsidR="000A5760" w:rsidRPr="000A5760">
              <w:rPr>
                <w:rFonts w:eastAsia="Arial Narrow"/>
                <w:b/>
              </w:rPr>
              <w:t xml:space="preserve">flichtmodul </w:t>
            </w:r>
            <w:r w:rsidR="000A5760">
              <w:rPr>
                <w:rFonts w:eastAsia="Arial Narrow"/>
              </w:rPr>
              <w:t xml:space="preserve">des Bachelorstudiengangs </w:t>
            </w:r>
            <w:r w:rsidR="000A5760" w:rsidRPr="000A5760">
              <w:rPr>
                <w:rFonts w:eastAsia="Arial Narrow"/>
              </w:rPr>
              <w:t>Neurowissenschaften</w:t>
            </w:r>
          </w:p>
          <w:p w:rsidR="000A5760" w:rsidRDefault="00ED5C8C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 xml:space="preserve">Empfohlene </w:t>
            </w:r>
            <w:proofErr w:type="spellStart"/>
            <w:r w:rsidR="004F507A" w:rsidRPr="000A5760">
              <w:rPr>
                <w:rFonts w:eastAsia="Arial Narrow"/>
                <w:b/>
              </w:rPr>
              <w:t>Literature</w:t>
            </w:r>
            <w:proofErr w:type="spellEnd"/>
            <w:r w:rsidR="004F507A" w:rsidRPr="000A5760">
              <w:rPr>
                <w:rFonts w:eastAsia="Arial Narrow"/>
                <w:b/>
              </w:rPr>
              <w:t>:</w:t>
            </w:r>
            <w:r w:rsidR="000A5760">
              <w:rPr>
                <w:rFonts w:eastAsia="Arial Narrow"/>
                <w:b/>
              </w:rPr>
              <w:t xml:space="preserve">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ED5C8C">
              <w:rPr>
                <w:lang w:val="de-DE"/>
              </w:rPr>
              <w:t xml:space="preserve">Bear M.F., </w:t>
            </w:r>
            <w:proofErr w:type="spellStart"/>
            <w:r w:rsidRPr="00ED5C8C">
              <w:rPr>
                <w:lang w:val="de-DE"/>
              </w:rPr>
              <w:t>Connotrs</w:t>
            </w:r>
            <w:proofErr w:type="spellEnd"/>
            <w:r w:rsidRPr="00ED5C8C">
              <w:rPr>
                <w:lang w:val="de-DE"/>
              </w:rPr>
              <w:t xml:space="preserve"> B.W. &amp; </w:t>
            </w:r>
            <w:proofErr w:type="spellStart"/>
            <w:r w:rsidRPr="00ED5C8C">
              <w:rPr>
                <w:lang w:val="de-DE"/>
              </w:rPr>
              <w:t>Paradiso</w:t>
            </w:r>
            <w:proofErr w:type="spellEnd"/>
            <w:r w:rsidRPr="00ED5C8C">
              <w:rPr>
                <w:lang w:val="de-DE"/>
              </w:rPr>
              <w:t xml:space="preserve"> M.A.: Neurowissenschaften, Spektrum Verlag;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ED5C8C">
              <w:rPr>
                <w:u w:val="single"/>
              </w:rPr>
              <w:t>Reviews</w:t>
            </w:r>
            <w:r w:rsidRPr="00ED5C8C">
              <w:t xml:space="preserve">: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ED5C8C">
              <w:t xml:space="preserve">Bean B.P. (2007): The action potential in mammalian neurons. Nat. Rev. </w:t>
            </w:r>
            <w:proofErr w:type="spellStart"/>
            <w:r w:rsidRPr="00ED5C8C">
              <w:t>Neurosci</w:t>
            </w:r>
            <w:proofErr w:type="spellEnd"/>
            <w:r w:rsidRPr="00ED5C8C">
              <w:t xml:space="preserve">. 8, 451.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proofErr w:type="spellStart"/>
            <w:r w:rsidRPr="00ED5C8C">
              <w:t>Vacher</w:t>
            </w:r>
            <w:proofErr w:type="spellEnd"/>
            <w:r w:rsidRPr="00ED5C8C">
              <w:t xml:space="preserve"> et al., (2008): Localization and Targeting of Ion Channels in Mammalian Central Neurons. Physiol. Rev. 88, 1407.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proofErr w:type="spellStart"/>
            <w:r w:rsidRPr="00ED5C8C">
              <w:t>Jahn</w:t>
            </w:r>
            <w:proofErr w:type="spellEnd"/>
            <w:r w:rsidRPr="00ED5C8C">
              <w:t xml:space="preserve"> S. et al. (2009): Myelin </w:t>
            </w:r>
            <w:proofErr w:type="spellStart"/>
            <w:r w:rsidRPr="00ED5C8C">
              <w:t>Proteo</w:t>
            </w:r>
            <w:proofErr w:type="spellEnd"/>
            <w:r w:rsidRPr="00ED5C8C">
              <w:t xml:space="preserve">-mics: Molecular Anatomy of an Insulating Sheath. </w:t>
            </w:r>
            <w:proofErr w:type="spellStart"/>
            <w:r w:rsidRPr="00ED5C8C">
              <w:t>Mol</w:t>
            </w:r>
            <w:proofErr w:type="spellEnd"/>
            <w:r w:rsidRPr="00ED5C8C">
              <w:t xml:space="preserve"> </w:t>
            </w:r>
            <w:proofErr w:type="spellStart"/>
            <w:r w:rsidRPr="00ED5C8C">
              <w:t>Neurobiol</w:t>
            </w:r>
            <w:proofErr w:type="spellEnd"/>
            <w:r w:rsidRPr="00ED5C8C">
              <w:t xml:space="preserve"> (2009) 40:55– 72.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</w:pPr>
            <w:r w:rsidRPr="00ED5C8C">
              <w:t xml:space="preserve">Bossy-Wetzel, E., </w:t>
            </w:r>
            <w:proofErr w:type="spellStart"/>
            <w:r w:rsidRPr="00ED5C8C">
              <w:t>Schwarzenbacher</w:t>
            </w:r>
            <w:proofErr w:type="spellEnd"/>
            <w:r w:rsidRPr="00ED5C8C">
              <w:t xml:space="preserve"> R. &amp; S.A. Lipton (2004):</w:t>
            </w:r>
            <w:r>
              <w:t xml:space="preserve"> Molecular pathways to neurode</w:t>
            </w:r>
            <w:r w:rsidRPr="00ED5C8C">
              <w:t xml:space="preserve">generation. Nature Medicine </w:t>
            </w:r>
            <w:proofErr w:type="spellStart"/>
            <w:r w:rsidRPr="00ED5C8C">
              <w:t>Suppl</w:t>
            </w:r>
            <w:proofErr w:type="spellEnd"/>
            <w:r w:rsidRPr="00ED5C8C">
              <w:t>: S2-9 (s</w:t>
            </w:r>
            <w:r>
              <w:t>pecial issue, „Neurodegenera</w:t>
            </w:r>
            <w:r w:rsidRPr="00ED5C8C">
              <w:t xml:space="preserve">tion“).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proofErr w:type="spellStart"/>
            <w:r w:rsidRPr="00ED5C8C">
              <w:t>Mucke</w:t>
            </w:r>
            <w:proofErr w:type="spellEnd"/>
            <w:r w:rsidRPr="00ED5C8C">
              <w:t xml:space="preserve">, Lennart (2009): Alzheimer‘s disease. Nature, 461, 895-7. </w:t>
            </w:r>
          </w:p>
          <w:p w:rsidR="00ED5C8C" w:rsidRPr="00E212A1" w:rsidRDefault="00ED5C8C" w:rsidP="00ED5C8C">
            <w:pPr>
              <w:pStyle w:val="KeinLeerraum"/>
              <w:numPr>
                <w:ilvl w:val="0"/>
                <w:numId w:val="14"/>
              </w:numPr>
            </w:pPr>
            <w:proofErr w:type="spellStart"/>
            <w:r w:rsidRPr="00ED5C8C">
              <w:t>Sensi</w:t>
            </w:r>
            <w:proofErr w:type="spellEnd"/>
            <w:r w:rsidRPr="00ED5C8C">
              <w:t xml:space="preserve">, S.L., et al., </w:t>
            </w:r>
            <w:proofErr w:type="spellStart"/>
            <w:r w:rsidRPr="00ED5C8C">
              <w:t>Sekler</w:t>
            </w:r>
            <w:proofErr w:type="spellEnd"/>
            <w:r w:rsidRPr="00ED5C8C">
              <w:t xml:space="preserve"> I. (2009): Zinc in the physiology and pathology of the </w:t>
            </w:r>
            <w:proofErr w:type="spellStart"/>
            <w:r w:rsidRPr="00ED5C8C">
              <w:t>CNS.Nature</w:t>
            </w:r>
            <w:proofErr w:type="spellEnd"/>
            <w:r w:rsidRPr="00ED5C8C">
              <w:t xml:space="preserve"> Reviews Neuroscience 10, 780-91. </w:t>
            </w:r>
          </w:p>
          <w:p w:rsidR="00ED5C8C" w:rsidRPr="00ED5C8C" w:rsidRDefault="00ED5C8C" w:rsidP="00ED5C8C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proofErr w:type="spellStart"/>
            <w:r w:rsidRPr="00ED5C8C">
              <w:t>Wässle</w:t>
            </w:r>
            <w:proofErr w:type="spellEnd"/>
            <w:r w:rsidRPr="00ED5C8C">
              <w:t xml:space="preserve"> H. Parallel processing in the mammalian retina. Nat Rev </w:t>
            </w:r>
            <w:proofErr w:type="spellStart"/>
            <w:r w:rsidRPr="00ED5C8C">
              <w:t>Neurosci</w:t>
            </w:r>
            <w:proofErr w:type="spellEnd"/>
            <w:r w:rsidRPr="00ED5C8C">
              <w:t xml:space="preserve"> 2004</w:t>
            </w:r>
            <w:proofErr w:type="gramStart"/>
            <w:r w:rsidRPr="00ED5C8C">
              <w:t>;5:747</w:t>
            </w:r>
            <w:proofErr w:type="gramEnd"/>
            <w:r w:rsidRPr="00ED5C8C">
              <w:t xml:space="preserve">-57. </w:t>
            </w:r>
          </w:p>
          <w:p w:rsidR="004F507A" w:rsidRPr="00ED5C8C" w:rsidRDefault="00ED5C8C" w:rsidP="00ED5C8C">
            <w:pPr>
              <w:pStyle w:val="KeinLeerraum"/>
              <w:numPr>
                <w:ilvl w:val="0"/>
                <w:numId w:val="14"/>
              </w:numPr>
            </w:pPr>
            <w:proofErr w:type="spellStart"/>
            <w:r w:rsidRPr="00ED5C8C">
              <w:t>Albanna</w:t>
            </w:r>
            <w:proofErr w:type="spellEnd"/>
            <w:r w:rsidRPr="00ED5C8C">
              <w:t xml:space="preserve"> W. et al.: Retinal Vessel Analysis (RVA) in the Context of Subarachnoid Hemorrhage – A Proof of Concept Study. </w:t>
            </w:r>
            <w:proofErr w:type="spellStart"/>
            <w:r w:rsidRPr="00ED5C8C">
              <w:t>PLoS</w:t>
            </w:r>
            <w:proofErr w:type="spellEnd"/>
            <w:r w:rsidRPr="00ED5C8C">
              <w:t xml:space="preserve"> One 11, E0158781.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</w:rPr>
        <w:t>ä</w:t>
      </w:r>
      <w:r w:rsidRPr="00DA0F86">
        <w:rPr>
          <w:rFonts w:ascii="Arial" w:eastAsia="Arial" w:hAnsi="Arial" w:cs="Arial"/>
          <w:sz w:val="16"/>
          <w:szCs w:val="16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</w:rPr>
        <w:t>ud</w:t>
      </w:r>
      <w:r w:rsidRPr="00DA0F86">
        <w:rPr>
          <w:rFonts w:ascii="Arial" w:eastAsia="Arial" w:hAnsi="Arial" w:cs="Arial"/>
          <w:sz w:val="16"/>
          <w:szCs w:val="16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</w:rPr>
        <w:t>enver</w:t>
      </w:r>
      <w:r w:rsidRPr="00DA0F86">
        <w:rPr>
          <w:rFonts w:ascii="Arial" w:eastAsia="Arial" w:hAnsi="Arial" w:cs="Arial"/>
          <w:sz w:val="16"/>
          <w:szCs w:val="16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</w:rPr>
        <w:t>p</w:t>
      </w:r>
      <w:r w:rsidRPr="00DA0F86">
        <w:rPr>
          <w:rFonts w:ascii="Arial" w:eastAsia="Arial" w:hAnsi="Arial" w:cs="Arial"/>
          <w:sz w:val="16"/>
          <w:szCs w:val="16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</w:rPr>
        <w:t>a</w:t>
      </w:r>
      <w:r w:rsidRPr="00DA0F86">
        <w:rPr>
          <w:rFonts w:ascii="Arial" w:eastAsia="Arial" w:hAnsi="Arial" w:cs="Arial"/>
          <w:sz w:val="16"/>
          <w:szCs w:val="16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</w:rPr>
        <w:t>s</w:t>
      </w:r>
      <w:r w:rsidRPr="00DA0F86">
        <w:rPr>
          <w:rFonts w:ascii="Arial" w:eastAsia="Arial" w:hAnsi="Arial" w:cs="Arial"/>
          <w:sz w:val="16"/>
          <w:szCs w:val="16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</w:rPr>
        <w:t>n</w:t>
      </w:r>
      <w:r w:rsidRPr="00DA0F86">
        <w:rPr>
          <w:rFonts w:ascii="Arial" w:eastAsia="Arial" w:hAnsi="Arial" w:cs="Arial"/>
          <w:sz w:val="16"/>
          <w:szCs w:val="16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</w:rPr>
        <w:t>ag</w:t>
      </w:r>
      <w:r w:rsidRPr="00DA0F86">
        <w:rPr>
          <w:rFonts w:ascii="Arial" w:eastAsia="Arial" w:hAnsi="Arial" w:cs="Arial"/>
          <w:sz w:val="16"/>
          <w:szCs w:val="16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DA0F86">
        <w:rPr>
          <w:rFonts w:ascii="Arial" w:eastAsia="Arial" w:hAnsi="Arial" w:cs="Arial"/>
          <w:sz w:val="16"/>
          <w:szCs w:val="16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</w:rPr>
        <w:t>de</w:t>
      </w:r>
      <w:r w:rsidRPr="00DA0F86">
        <w:rPr>
          <w:rFonts w:ascii="Arial" w:eastAsia="Arial" w:hAnsi="Arial" w:cs="Arial"/>
          <w:sz w:val="16"/>
          <w:szCs w:val="16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</w:rPr>
        <w:t>ordnung</w:t>
      </w:r>
      <w:r w:rsidRPr="00DA0F86">
        <w:rPr>
          <w:rFonts w:ascii="Arial" w:eastAsia="Arial" w:hAnsi="Arial" w:cs="Arial"/>
          <w:sz w:val="16"/>
          <w:szCs w:val="16"/>
        </w:rPr>
        <w:t>)</w:t>
      </w:r>
    </w:p>
    <w:p w:rsidR="00C61D99" w:rsidRPr="00C175EF" w:rsidRDefault="00C61D99"/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1F464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4A75FA"/>
    <w:rsid w:val="004F507A"/>
    <w:rsid w:val="00577F44"/>
    <w:rsid w:val="00646B93"/>
    <w:rsid w:val="006C4D71"/>
    <w:rsid w:val="008837A5"/>
    <w:rsid w:val="008B2C6B"/>
    <w:rsid w:val="00B160A2"/>
    <w:rsid w:val="00BD0FB7"/>
    <w:rsid w:val="00C175EF"/>
    <w:rsid w:val="00C3152A"/>
    <w:rsid w:val="00C61D99"/>
    <w:rsid w:val="00CE26F3"/>
    <w:rsid w:val="00CF6E6F"/>
    <w:rsid w:val="00D4372E"/>
    <w:rsid w:val="00E212A1"/>
    <w:rsid w:val="00ED5C8C"/>
    <w:rsid w:val="00F11D2D"/>
    <w:rsid w:val="00F73FC1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2017-01-13T09:34:00Z</dcterms:created>
  <dcterms:modified xsi:type="dcterms:W3CDTF">2017-01-16T17:09:00Z</dcterms:modified>
</cp:coreProperties>
</file>